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CBA" w:rsidRDefault="006A6CBA" w:rsidP="006A6CBA">
      <w:pPr>
        <w:jc w:val="center"/>
      </w:pPr>
    </w:p>
    <w:p w:rsidR="006A6CBA" w:rsidRDefault="006A6CBA" w:rsidP="006A6CBA">
      <w:pPr>
        <w:jc w:val="center"/>
      </w:pPr>
    </w:p>
    <w:p w:rsidR="006A6CBA" w:rsidRDefault="006A6CBA" w:rsidP="006A6CBA">
      <w:pPr>
        <w:jc w:val="center"/>
      </w:pPr>
    </w:p>
    <w:p w:rsidR="006A6CBA" w:rsidRDefault="006A6CBA" w:rsidP="006A6CBA">
      <w:pPr>
        <w:jc w:val="center"/>
      </w:pPr>
    </w:p>
    <w:p w:rsidR="00710019" w:rsidRDefault="006A6CBA" w:rsidP="006A6CBA">
      <w:pPr>
        <w:jc w:val="center"/>
      </w:pPr>
      <w:r>
        <w:t>Part B</w:t>
      </w:r>
    </w:p>
    <w:p w:rsidR="006A6CBA" w:rsidRDefault="006A6CBA" w:rsidP="006A6CBA">
      <w:pPr>
        <w:jc w:val="center"/>
      </w:pPr>
      <w:r>
        <w:t>Student’s Name</w:t>
      </w:r>
    </w:p>
    <w:p w:rsidR="006A6CBA" w:rsidRDefault="006A6CBA" w:rsidP="006A6CBA">
      <w:pPr>
        <w:jc w:val="center"/>
      </w:pPr>
      <w:r>
        <w:t>Student’s ID Number</w:t>
      </w:r>
    </w:p>
    <w:p w:rsidR="006A6CBA" w:rsidRDefault="006A6CBA" w:rsidP="006A6CBA">
      <w:pPr>
        <w:jc w:val="center"/>
      </w:pPr>
      <w:r>
        <w:t>Student’s Exam Number</w:t>
      </w:r>
    </w:p>
    <w:p w:rsidR="006A6CBA" w:rsidRDefault="006A6CBA" w:rsidP="006A6CBA">
      <w:pPr>
        <w:jc w:val="center"/>
      </w:pPr>
      <w:r>
        <w:t>Student’s Email Address</w:t>
      </w:r>
    </w:p>
    <w:p w:rsidR="006A6CBA" w:rsidRDefault="006A6CBA">
      <w:pPr>
        <w:spacing w:line="276" w:lineRule="auto"/>
      </w:pPr>
      <w:r>
        <w:br w:type="page"/>
      </w:r>
    </w:p>
    <w:p w:rsidR="006A6CBA" w:rsidRDefault="006A6CBA" w:rsidP="006A6CBA">
      <w:pPr>
        <w:jc w:val="center"/>
      </w:pPr>
      <w:r>
        <w:lastRenderedPageBreak/>
        <w:t>Part B</w:t>
      </w:r>
    </w:p>
    <w:p w:rsidR="006A6CBA" w:rsidRDefault="006A6CBA" w:rsidP="006A6CBA">
      <w:r>
        <w:t>1.</w:t>
      </w:r>
    </w:p>
    <w:p w:rsidR="006A6CBA" w:rsidRDefault="006A6CBA" w:rsidP="006A6CBA">
      <w:pPr>
        <w:ind w:firstLine="720"/>
      </w:pPr>
      <w:r>
        <w:t>Decisions concerning the death penalty in courts are made according to the Sixth Amendment that ensures jurors determine facts that are necessary for imposing a death penalty on an offender</w:t>
      </w:r>
      <w:r w:rsidR="00812A0A" w:rsidRPr="00812A0A">
        <w:rPr>
          <w:rFonts w:eastAsia="Times New Roman" w:cs="Times New Roman"/>
          <w:szCs w:val="24"/>
        </w:rPr>
        <w:t xml:space="preserve"> </w:t>
      </w:r>
      <w:r w:rsidR="00812A0A">
        <w:rPr>
          <w:rFonts w:eastAsia="Times New Roman" w:cs="Times New Roman"/>
          <w:szCs w:val="24"/>
        </w:rPr>
        <w:t>(Kelley et al., 2019)</w:t>
      </w:r>
      <w:r>
        <w:t>. Then the judge must weigh the aggravating as well as mitigating factors of the case and decides whether a death penalty is reasonable.</w:t>
      </w:r>
    </w:p>
    <w:p w:rsidR="006A6CBA" w:rsidRDefault="006A6CBA" w:rsidP="006A6CBA">
      <w:r>
        <w:t>2.</w:t>
      </w:r>
    </w:p>
    <w:p w:rsidR="006A6CBA" w:rsidRDefault="006A6CBA" w:rsidP="006A6CBA">
      <w:pPr>
        <w:ind w:firstLine="720"/>
      </w:pPr>
      <w:r>
        <w:t>There are some differences portrayed between criminal justice and other social institutions. Firstly, criminal justice is the only social institution endowed with the power of punishing law offenders, while other social institutions do not. Secondly, criminal justice can make arrests of criminals, while other social institutions are not given the power to do so. They can only report matters to criminal justice, and corrective measures become undertaken.</w:t>
      </w:r>
    </w:p>
    <w:p w:rsidR="006A6CBA" w:rsidRDefault="006A6CBA" w:rsidP="006A6CBA">
      <w:r>
        <w:t>3.</w:t>
      </w:r>
    </w:p>
    <w:p w:rsidR="006A6CBA" w:rsidRDefault="006A6CBA" w:rsidP="006A6CBA">
      <w:pPr>
        <w:ind w:firstLine="720"/>
      </w:pPr>
      <w:r>
        <w:t xml:space="preserve">Psychoanalytic theorists explain psychopaths as people who are tormented with their imaginations of childhood events, which </w:t>
      </w:r>
      <w:r w:rsidR="001E4610">
        <w:t>trigger</w:t>
      </w:r>
      <w:r>
        <w:t xml:space="preserve"> their aggression towards others. For instance, criminals are motivated to take part in criminal behaviors due to their boundless egoism as well as their strong urge for destruction.</w:t>
      </w:r>
    </w:p>
    <w:p w:rsidR="006A6CBA" w:rsidRDefault="006A6CBA" w:rsidP="006A6CBA">
      <w:r>
        <w:t>4.</w:t>
      </w:r>
    </w:p>
    <w:p w:rsidR="006A6CBA" w:rsidRDefault="006A6CBA" w:rsidP="006A6CBA">
      <w:pPr>
        <w:ind w:firstLine="720"/>
      </w:pPr>
      <w:r>
        <w:t xml:space="preserve">Pseudofamilies and homosexual relationships between women incarcerated helped take part in agentic practices within prisons. These carceral relationships alleviated feelings of </w:t>
      </w:r>
      <w:r>
        <w:lastRenderedPageBreak/>
        <w:t>loneliness among women as they became members of a play family where they enjoyed protection.</w:t>
      </w:r>
    </w:p>
    <w:p w:rsidR="006A6CBA" w:rsidRDefault="006A6CBA" w:rsidP="006A6CBA">
      <w:r>
        <w:t>5.</w:t>
      </w:r>
    </w:p>
    <w:p w:rsidR="006A6CBA" w:rsidRDefault="006A6CBA" w:rsidP="006A6CBA">
      <w:pPr>
        <w:ind w:firstLine="720"/>
      </w:pPr>
      <w:r>
        <w:t>A court-appointed attorney performs varied tasks like arguing a defense case in court as well as researching laws. A public defender refers to a lawyer working within the office of the public defender and ensures legal representation is procured to indigent defendants</w:t>
      </w:r>
      <w:r w:rsidR="001E4610" w:rsidRPr="001E4610">
        <w:rPr>
          <w:rFonts w:eastAsia="Times New Roman" w:cs="Times New Roman"/>
          <w:szCs w:val="24"/>
        </w:rPr>
        <w:t xml:space="preserve"> </w:t>
      </w:r>
      <w:r w:rsidR="001E4610">
        <w:rPr>
          <w:rFonts w:eastAsia="Times New Roman" w:cs="Times New Roman"/>
          <w:szCs w:val="24"/>
        </w:rPr>
        <w:t>(Kelley et al., 2019)</w:t>
      </w:r>
      <w:r>
        <w:t>. A contract lawyer is an attorney working on legal cases on a contract.</w:t>
      </w:r>
    </w:p>
    <w:p w:rsidR="006A6CBA" w:rsidRDefault="006A6CBA" w:rsidP="006A6CBA">
      <w:r>
        <w:t>6.</w:t>
      </w:r>
    </w:p>
    <w:p w:rsidR="006A6CBA" w:rsidRDefault="006A6CBA" w:rsidP="006A6CBA">
      <w:pPr>
        <w:ind w:firstLine="720"/>
      </w:pPr>
      <w:r>
        <w:t>Future American criminal courts can be forced to adapt their routines and personnel changing what they are in myriad ways. Firstly, they ought to go back to community policing. Secondly, they should improve prison accountability and leadership by reducing violence in prisons. Thirdly, they should support both incarcerations as well as alternatives to arrest programs.</w:t>
      </w:r>
    </w:p>
    <w:p w:rsidR="006A6CBA" w:rsidRDefault="006A6CBA" w:rsidP="006A6CBA">
      <w:r>
        <w:t>7.</w:t>
      </w:r>
    </w:p>
    <w:p w:rsidR="006A6CBA" w:rsidRDefault="006A6CBA" w:rsidP="006A6CBA">
      <w:pPr>
        <w:ind w:firstLine="720"/>
      </w:pPr>
      <w:r>
        <w:t>The four models of teen courts in America are adult judge, youth judge, tribunal, and peer jury. An adult judge gives rulings concerning legal matters as well as the courtroom procedures. The youth judge serves as a judge. Tribunal is whereby youth attorneys present cases to a panel that comprises three youth judges deciding the appropriate disposition on the defendant.  A peer jury ensures the case becomes introduced to the youth jury.</w:t>
      </w:r>
    </w:p>
    <w:p w:rsidR="006A6CBA" w:rsidRDefault="006A6CBA" w:rsidP="006A6CBA"/>
    <w:p w:rsidR="006A6CBA" w:rsidRDefault="006A6CBA" w:rsidP="006A6CBA">
      <w:r>
        <w:t>8.</w:t>
      </w:r>
    </w:p>
    <w:p w:rsidR="006A6CBA" w:rsidRDefault="006A6CBA" w:rsidP="006A6CBA">
      <w:pPr>
        <w:ind w:firstLine="720"/>
      </w:pPr>
      <w:r>
        <w:lastRenderedPageBreak/>
        <w:t>The exclusionary rule refers to the legal jurisdiction determined on constitutional grounds of the US that averts collected evidence from violating the constitutional rights of defendants. It has three primary purposes. Firstly, it deters law enforcement officers from making seizures that violate the Fourth Amendment. Secondly, it procures remedies to the defendant upon infringement of his or her rights. Thirdly, it ensures that human rights violations provide relevant evidence towards a criminal case.</w:t>
      </w:r>
    </w:p>
    <w:p w:rsidR="006A6CBA" w:rsidRDefault="006A6CBA" w:rsidP="006A6CBA">
      <w:r>
        <w:t>9.</w:t>
      </w:r>
    </w:p>
    <w:p w:rsidR="006A6CBA" w:rsidRDefault="006A6CBA" w:rsidP="006A6CBA">
      <w:pPr>
        <w:ind w:firstLine="720"/>
      </w:pPr>
      <w:r>
        <w:t>The five types of police misconduct identified by Ellwyn Stoddard were bribery, chiseling, extortion, favoritism, mooching, and perjury. Bribery concerns the practice of accepting cash and gifts, which compromises law enforcement. Chiseling denotes the making demands for discounts, free admission as well as free food. Extortion is the practice of using threats of enforcement and arrest in the event a bribe is not provided</w:t>
      </w:r>
      <w:r w:rsidR="00812A0A" w:rsidRPr="00812A0A">
        <w:rPr>
          <w:rFonts w:eastAsia="Times New Roman" w:cs="Times New Roman"/>
          <w:szCs w:val="24"/>
        </w:rPr>
        <w:t xml:space="preserve"> </w:t>
      </w:r>
      <w:r w:rsidR="00812A0A">
        <w:rPr>
          <w:rFonts w:eastAsia="Times New Roman" w:cs="Times New Roman"/>
          <w:szCs w:val="24"/>
        </w:rPr>
        <w:t>(Stinson, 2020)</w:t>
      </w:r>
      <w:r>
        <w:t xml:space="preserve">. Favoritism is ensuring that family and friends are given a break on enforcement of the law. Mooching assigns to the practice of accepting free food drinks as well as admission to entertainment.  Perjury is the practice of deceiving other officers who have been apprehended in illegalized action.  </w:t>
      </w:r>
    </w:p>
    <w:p w:rsidR="006A6CBA" w:rsidRDefault="006A6CBA" w:rsidP="006A6CBA">
      <w:r>
        <w:t>10.</w:t>
      </w:r>
    </w:p>
    <w:p w:rsidR="006A6CBA" w:rsidRDefault="006A6CBA" w:rsidP="00812A0A">
      <w:pPr>
        <w:ind w:firstLine="720"/>
      </w:pPr>
      <w:r>
        <w:t>The three different operational styles of police jobs encompass watchman, legalistic, and service styles.  Watchman style is involved in the maintenance of order. Legalistic styles emphasize on violations of law and utilize threats to make arrests.  Service style ensures that services are renders to the general public.</w:t>
      </w:r>
    </w:p>
    <w:p w:rsidR="00ED4524" w:rsidRDefault="00ED4524" w:rsidP="00812A0A">
      <w:pPr>
        <w:ind w:firstLine="720"/>
        <w:jc w:val="center"/>
      </w:pPr>
    </w:p>
    <w:p w:rsidR="00812A0A" w:rsidRDefault="00812A0A" w:rsidP="00812A0A">
      <w:pPr>
        <w:ind w:firstLine="720"/>
        <w:jc w:val="center"/>
      </w:pPr>
      <w:r>
        <w:lastRenderedPageBreak/>
        <w:t>References</w:t>
      </w:r>
    </w:p>
    <w:p w:rsidR="00ED4524" w:rsidRPr="00812A0A" w:rsidRDefault="00ED4524" w:rsidP="00812A0A">
      <w:pPr>
        <w:spacing w:after="0"/>
        <w:ind w:left="720" w:hanging="720"/>
        <w:rPr>
          <w:rFonts w:eastAsia="Times New Roman" w:cs="Times New Roman"/>
          <w:szCs w:val="24"/>
        </w:rPr>
      </w:pPr>
      <w:r w:rsidRPr="00812A0A">
        <w:rPr>
          <w:rFonts w:eastAsia="Times New Roman" w:cs="Times New Roman"/>
          <w:szCs w:val="24"/>
        </w:rPr>
        <w:t xml:space="preserve">Kelley, S. E., Edens, J. F., Mowle, E. N., Penson, B. N., &amp; Rulseh, A. (2019). Dangerous, depraved, and death‐worthy: A meta‐analysis of the correlates of perceived psychopathy in jury simulation studies. </w:t>
      </w:r>
      <w:r w:rsidRPr="00812A0A">
        <w:rPr>
          <w:rFonts w:eastAsia="Times New Roman" w:cs="Times New Roman"/>
          <w:i/>
          <w:iCs/>
          <w:szCs w:val="24"/>
        </w:rPr>
        <w:t>Journal of clinical psychology</w:t>
      </w:r>
      <w:r w:rsidRPr="00812A0A">
        <w:rPr>
          <w:rFonts w:eastAsia="Times New Roman" w:cs="Times New Roman"/>
          <w:szCs w:val="24"/>
        </w:rPr>
        <w:t xml:space="preserve">, </w:t>
      </w:r>
      <w:r w:rsidRPr="00812A0A">
        <w:rPr>
          <w:rFonts w:eastAsia="Times New Roman" w:cs="Times New Roman"/>
          <w:i/>
          <w:iCs/>
          <w:szCs w:val="24"/>
        </w:rPr>
        <w:t>75</w:t>
      </w:r>
      <w:r w:rsidRPr="00812A0A">
        <w:rPr>
          <w:rFonts w:eastAsia="Times New Roman" w:cs="Times New Roman"/>
          <w:szCs w:val="24"/>
        </w:rPr>
        <w:t>(4), 627-643.</w:t>
      </w:r>
    </w:p>
    <w:p w:rsidR="00ED4524" w:rsidRPr="00812A0A" w:rsidRDefault="00ED4524" w:rsidP="00812A0A">
      <w:pPr>
        <w:spacing w:after="0"/>
        <w:ind w:left="720" w:hanging="720"/>
        <w:rPr>
          <w:rFonts w:eastAsia="Times New Roman" w:cs="Times New Roman"/>
          <w:szCs w:val="24"/>
        </w:rPr>
      </w:pPr>
      <w:r w:rsidRPr="00812A0A">
        <w:rPr>
          <w:rFonts w:eastAsia="Times New Roman" w:cs="Times New Roman"/>
          <w:szCs w:val="24"/>
        </w:rPr>
        <w:t xml:space="preserve">Stinson, P. M. (2020). </w:t>
      </w:r>
      <w:r w:rsidRPr="00812A0A">
        <w:rPr>
          <w:rFonts w:eastAsia="Times New Roman" w:cs="Times New Roman"/>
          <w:i/>
          <w:iCs/>
          <w:szCs w:val="24"/>
        </w:rPr>
        <w:t>Criminology Explains Police Violence</w:t>
      </w:r>
      <w:r w:rsidRPr="00812A0A">
        <w:rPr>
          <w:rFonts w:eastAsia="Times New Roman" w:cs="Times New Roman"/>
          <w:szCs w:val="24"/>
        </w:rPr>
        <w:t xml:space="preserve"> (Vol. 1). University of California Press.</w:t>
      </w:r>
    </w:p>
    <w:p w:rsidR="00812A0A" w:rsidRPr="006A6CBA" w:rsidRDefault="00812A0A" w:rsidP="00812A0A">
      <w:pPr>
        <w:ind w:firstLine="720"/>
        <w:jc w:val="center"/>
      </w:pPr>
    </w:p>
    <w:sectPr w:rsidR="00812A0A" w:rsidRPr="006A6CBA" w:rsidSect="006A6CB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0905" w:rsidRDefault="007C0905" w:rsidP="006A6CBA">
      <w:pPr>
        <w:spacing w:after="0" w:line="240" w:lineRule="auto"/>
      </w:pPr>
      <w:r>
        <w:separator/>
      </w:r>
    </w:p>
  </w:endnote>
  <w:endnote w:type="continuationSeparator" w:id="1">
    <w:p w:rsidR="007C0905" w:rsidRDefault="007C0905" w:rsidP="006A6C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0905" w:rsidRDefault="007C0905" w:rsidP="006A6CBA">
      <w:pPr>
        <w:spacing w:after="0" w:line="240" w:lineRule="auto"/>
      </w:pPr>
      <w:r>
        <w:separator/>
      </w:r>
    </w:p>
  </w:footnote>
  <w:footnote w:type="continuationSeparator" w:id="1">
    <w:p w:rsidR="007C0905" w:rsidRDefault="007C0905" w:rsidP="006A6C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5958465"/>
      <w:docPartObj>
        <w:docPartGallery w:val="Page Numbers (Top of Page)"/>
        <w:docPartUnique/>
      </w:docPartObj>
    </w:sdtPr>
    <w:sdtContent>
      <w:p w:rsidR="006A6CBA" w:rsidRDefault="006A6CBA">
        <w:pPr>
          <w:pStyle w:val="Header"/>
          <w:jc w:val="right"/>
        </w:pPr>
        <w:r>
          <w:t>PART B</w:t>
        </w:r>
        <w:r>
          <w:tab/>
        </w:r>
        <w:r>
          <w:tab/>
        </w:r>
        <w:fldSimple w:instr=" PAGE   \* MERGEFORMAT ">
          <w:r w:rsidR="00ED4524">
            <w:rPr>
              <w:noProof/>
            </w:rPr>
            <w:t>5</w:t>
          </w:r>
        </w:fldSimple>
      </w:p>
    </w:sdtContent>
  </w:sdt>
  <w:p w:rsidR="006A6CBA" w:rsidRDefault="006A6CB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CBA" w:rsidRDefault="006A6CBA">
    <w:pPr>
      <w:pStyle w:val="Header"/>
    </w:pPr>
    <w:r>
      <w:t>Running Head: PART B</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D515BA"/>
    <w:rsid w:val="00020797"/>
    <w:rsid w:val="001E4610"/>
    <w:rsid w:val="002D25C0"/>
    <w:rsid w:val="00325647"/>
    <w:rsid w:val="00447D26"/>
    <w:rsid w:val="004E16E4"/>
    <w:rsid w:val="006A6CBA"/>
    <w:rsid w:val="00710019"/>
    <w:rsid w:val="007C0905"/>
    <w:rsid w:val="00800C48"/>
    <w:rsid w:val="00812A0A"/>
    <w:rsid w:val="00841178"/>
    <w:rsid w:val="00942A5E"/>
    <w:rsid w:val="00953690"/>
    <w:rsid w:val="009D43A8"/>
    <w:rsid w:val="00A43A73"/>
    <w:rsid w:val="00D35519"/>
    <w:rsid w:val="00D515BA"/>
    <w:rsid w:val="00E448E4"/>
    <w:rsid w:val="00ED4524"/>
    <w:rsid w:val="00F43D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6C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CBA"/>
    <w:rPr>
      <w:rFonts w:ascii="Times New Roman" w:hAnsi="Times New Roman"/>
      <w:sz w:val="24"/>
    </w:rPr>
  </w:style>
  <w:style w:type="paragraph" w:styleId="Footer">
    <w:name w:val="footer"/>
    <w:basedOn w:val="Normal"/>
    <w:link w:val="FooterChar"/>
    <w:uiPriority w:val="99"/>
    <w:semiHidden/>
    <w:unhideWhenUsed/>
    <w:rsid w:val="006A6CB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A6CBA"/>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1638729238">
      <w:bodyDiv w:val="1"/>
      <w:marLeft w:val="0"/>
      <w:marRight w:val="0"/>
      <w:marTop w:val="0"/>
      <w:marBottom w:val="0"/>
      <w:divBdr>
        <w:top w:val="none" w:sz="0" w:space="0" w:color="auto"/>
        <w:left w:val="none" w:sz="0" w:space="0" w:color="auto"/>
        <w:bottom w:val="none" w:sz="0" w:space="0" w:color="auto"/>
        <w:right w:val="none" w:sz="0" w:space="0" w:color="auto"/>
      </w:divBdr>
      <w:divsChild>
        <w:div w:id="452335330">
          <w:marLeft w:val="0"/>
          <w:marRight w:val="0"/>
          <w:marTop w:val="0"/>
          <w:marBottom w:val="0"/>
          <w:divBdr>
            <w:top w:val="none" w:sz="0" w:space="0" w:color="auto"/>
            <w:left w:val="none" w:sz="0" w:space="0" w:color="auto"/>
            <w:bottom w:val="none" w:sz="0" w:space="0" w:color="auto"/>
            <w:right w:val="none" w:sz="0" w:space="0" w:color="auto"/>
          </w:divBdr>
        </w:div>
      </w:divsChild>
    </w:div>
    <w:div w:id="2125690813">
      <w:bodyDiv w:val="1"/>
      <w:marLeft w:val="0"/>
      <w:marRight w:val="0"/>
      <w:marTop w:val="0"/>
      <w:marBottom w:val="0"/>
      <w:divBdr>
        <w:top w:val="none" w:sz="0" w:space="0" w:color="auto"/>
        <w:left w:val="none" w:sz="0" w:space="0" w:color="auto"/>
        <w:bottom w:val="none" w:sz="0" w:space="0" w:color="auto"/>
        <w:right w:val="none" w:sz="0" w:space="0" w:color="auto"/>
      </w:divBdr>
      <w:divsChild>
        <w:div w:id="8511426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5</Pages>
  <Words>691</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nilly</cp:lastModifiedBy>
  <cp:revision>5</cp:revision>
  <dcterms:created xsi:type="dcterms:W3CDTF">2020-04-15T10:47:00Z</dcterms:created>
  <dcterms:modified xsi:type="dcterms:W3CDTF">2020-04-15T14:40:00Z</dcterms:modified>
</cp:coreProperties>
</file>